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065" w:type="dxa"/>
        <w:tblInd w:w="-318" w:type="dxa"/>
        <w:tblLook w:val="04A0"/>
      </w:tblPr>
      <w:tblGrid>
        <w:gridCol w:w="993"/>
        <w:gridCol w:w="9072"/>
      </w:tblGrid>
      <w:tr w:rsidR="008641E9" w:rsidRPr="00D315CE" w:rsidTr="00EF5765">
        <w:tc>
          <w:tcPr>
            <w:tcW w:w="10065" w:type="dxa"/>
            <w:gridSpan w:val="2"/>
          </w:tcPr>
          <w:p w:rsidR="008641E9" w:rsidRPr="00325CAD" w:rsidRDefault="008641E9" w:rsidP="00EF5765">
            <w:pPr>
              <w:spacing w:after="0" w:line="240" w:lineRule="auto"/>
              <w:jc w:val="center"/>
              <w:rPr>
                <w:rFonts w:cs="Arial"/>
                <w:b/>
                <w:u w:val="single"/>
              </w:rPr>
            </w:pPr>
            <w:r w:rsidRPr="00325CAD">
              <w:rPr>
                <w:rFonts w:cs="Arial"/>
                <w:b/>
                <w:u w:val="single"/>
              </w:rPr>
              <w:t>GUÍA DE TRABAJO</w:t>
            </w:r>
          </w:p>
        </w:tc>
      </w:tr>
      <w:tr w:rsidR="008641E9" w:rsidRPr="00D315CE" w:rsidTr="00EF5765">
        <w:tc>
          <w:tcPr>
            <w:tcW w:w="993" w:type="dxa"/>
          </w:tcPr>
          <w:p w:rsidR="008641E9" w:rsidRPr="00325CAD" w:rsidRDefault="008641E9" w:rsidP="00EF5765">
            <w:pPr>
              <w:spacing w:after="0" w:line="240" w:lineRule="auto"/>
              <w:jc w:val="both"/>
              <w:rPr>
                <w:rFonts w:cs="Arial"/>
                <w:b/>
              </w:rPr>
            </w:pPr>
            <w:r w:rsidRPr="00325CAD">
              <w:rPr>
                <w:rFonts w:cs="Arial"/>
                <w:b/>
              </w:rPr>
              <w:t>Nombre</w:t>
            </w:r>
          </w:p>
        </w:tc>
        <w:tc>
          <w:tcPr>
            <w:tcW w:w="9072" w:type="dxa"/>
          </w:tcPr>
          <w:p w:rsidR="008641E9" w:rsidRPr="00325CAD" w:rsidRDefault="008641E9" w:rsidP="00EF5765">
            <w:pPr>
              <w:spacing w:after="0" w:line="240" w:lineRule="auto"/>
              <w:jc w:val="both"/>
              <w:rPr>
                <w:rFonts w:cs="Arial"/>
                <w:b/>
              </w:rPr>
            </w:pPr>
          </w:p>
        </w:tc>
      </w:tr>
      <w:tr w:rsidR="008641E9" w:rsidRPr="00D315CE" w:rsidTr="00EF5765">
        <w:tc>
          <w:tcPr>
            <w:tcW w:w="993" w:type="dxa"/>
          </w:tcPr>
          <w:p w:rsidR="008641E9" w:rsidRPr="00325CAD" w:rsidRDefault="008641E9" w:rsidP="00EF5765">
            <w:pPr>
              <w:spacing w:after="0" w:line="240" w:lineRule="auto"/>
              <w:jc w:val="both"/>
              <w:rPr>
                <w:rFonts w:cs="Arial"/>
                <w:b/>
              </w:rPr>
            </w:pPr>
            <w:r>
              <w:rPr>
                <w:rFonts w:cs="Arial"/>
                <w:b/>
              </w:rPr>
              <w:t>Taller</w:t>
            </w:r>
          </w:p>
        </w:tc>
        <w:tc>
          <w:tcPr>
            <w:tcW w:w="9072" w:type="dxa"/>
          </w:tcPr>
          <w:p w:rsidR="008641E9" w:rsidRPr="00325CAD" w:rsidRDefault="008641E9" w:rsidP="00EF5765">
            <w:pPr>
              <w:spacing w:after="0" w:line="240" w:lineRule="auto"/>
              <w:jc w:val="both"/>
              <w:rPr>
                <w:rFonts w:cs="Arial"/>
                <w:b/>
              </w:rPr>
            </w:pPr>
            <w:r>
              <w:rPr>
                <w:rFonts w:cs="Arial"/>
                <w:b/>
              </w:rPr>
              <w:t xml:space="preserve">1° medio </w:t>
            </w:r>
            <w:r w:rsidRPr="00124800">
              <w:rPr>
                <w:rFonts w:cs="Arial"/>
                <w:b/>
                <w:u w:val="single"/>
              </w:rPr>
              <w:t>"Comprensión de lectura"</w:t>
            </w:r>
          </w:p>
        </w:tc>
      </w:tr>
      <w:tr w:rsidR="008641E9" w:rsidRPr="00D315CE" w:rsidTr="00EF5765">
        <w:tc>
          <w:tcPr>
            <w:tcW w:w="993" w:type="dxa"/>
          </w:tcPr>
          <w:p w:rsidR="008641E9" w:rsidRPr="00325CAD" w:rsidRDefault="008641E9" w:rsidP="00EF5765">
            <w:pPr>
              <w:spacing w:after="0" w:line="240" w:lineRule="auto"/>
              <w:jc w:val="both"/>
              <w:rPr>
                <w:rFonts w:cs="Arial"/>
                <w:b/>
              </w:rPr>
            </w:pPr>
            <w:r w:rsidRPr="00325CAD">
              <w:rPr>
                <w:rFonts w:cs="Arial"/>
                <w:b/>
              </w:rPr>
              <w:t>Fecha</w:t>
            </w:r>
          </w:p>
        </w:tc>
        <w:tc>
          <w:tcPr>
            <w:tcW w:w="9072" w:type="dxa"/>
          </w:tcPr>
          <w:p w:rsidR="008641E9" w:rsidRPr="00325CAD" w:rsidRDefault="008641E9" w:rsidP="00EF5765">
            <w:pPr>
              <w:spacing w:after="0" w:line="240" w:lineRule="auto"/>
              <w:jc w:val="both"/>
              <w:rPr>
                <w:rFonts w:cs="Arial"/>
                <w:b/>
              </w:rPr>
            </w:pPr>
            <w:r w:rsidRPr="00325CAD">
              <w:rPr>
                <w:rFonts w:cs="Arial"/>
                <w:b/>
              </w:rPr>
              <w:t>__/03/20</w:t>
            </w:r>
          </w:p>
        </w:tc>
      </w:tr>
      <w:tr w:rsidR="008641E9" w:rsidTr="00EF5765">
        <w:tc>
          <w:tcPr>
            <w:tcW w:w="10065" w:type="dxa"/>
            <w:gridSpan w:val="2"/>
          </w:tcPr>
          <w:p w:rsidR="008641E9" w:rsidRPr="00325CAD" w:rsidRDefault="008641E9" w:rsidP="00EF5765">
            <w:pPr>
              <w:pStyle w:val="Default"/>
              <w:jc w:val="both"/>
              <w:rPr>
                <w:rFonts w:cstheme="minorBidi"/>
                <w:b/>
                <w:color w:val="auto"/>
                <w:sz w:val="22"/>
                <w:szCs w:val="22"/>
                <w:u w:val="single"/>
              </w:rPr>
            </w:pPr>
            <w:r>
              <w:rPr>
                <w:rFonts w:cstheme="minorBidi"/>
                <w:b/>
                <w:color w:val="auto"/>
                <w:sz w:val="22"/>
                <w:szCs w:val="22"/>
                <w:u w:val="single"/>
              </w:rPr>
              <w:t xml:space="preserve">CONTENIDOS </w:t>
            </w:r>
            <w:r w:rsidRPr="00325CAD">
              <w:rPr>
                <w:rFonts w:cstheme="minorBidi"/>
                <w:b/>
                <w:color w:val="auto"/>
                <w:sz w:val="22"/>
                <w:szCs w:val="22"/>
                <w:u w:val="single"/>
              </w:rPr>
              <w:t>:</w:t>
            </w:r>
            <w:r w:rsidRPr="00325CAD">
              <w:rPr>
                <w:rFonts w:cstheme="minorBidi"/>
                <w:b/>
                <w:sz w:val="22"/>
                <w:szCs w:val="22"/>
              </w:rPr>
              <w:t xml:space="preserve"> </w:t>
            </w:r>
            <w:r>
              <w:rPr>
                <w:rFonts w:cstheme="minorBidi"/>
                <w:b/>
                <w:sz w:val="22"/>
                <w:szCs w:val="22"/>
              </w:rPr>
              <w:t>"Palabras que cuentan el mundo" - Antología de textos informativos (Texto guía)</w:t>
            </w:r>
          </w:p>
        </w:tc>
      </w:tr>
      <w:tr w:rsidR="008641E9" w:rsidTr="00EF5765">
        <w:tc>
          <w:tcPr>
            <w:tcW w:w="10065" w:type="dxa"/>
            <w:gridSpan w:val="2"/>
          </w:tcPr>
          <w:p w:rsidR="008641E9" w:rsidRPr="00C35A2C" w:rsidRDefault="008641E9" w:rsidP="00EF5765">
            <w:pPr>
              <w:pStyle w:val="Default"/>
              <w:jc w:val="both"/>
              <w:rPr>
                <w:rFonts w:cstheme="minorBidi"/>
                <w:color w:val="auto"/>
                <w:sz w:val="16"/>
                <w:szCs w:val="16"/>
                <w:u w:val="single"/>
              </w:rPr>
            </w:pPr>
          </w:p>
        </w:tc>
      </w:tr>
      <w:tr w:rsidR="008641E9" w:rsidTr="00EF5765">
        <w:tc>
          <w:tcPr>
            <w:tcW w:w="10065" w:type="dxa"/>
            <w:gridSpan w:val="2"/>
          </w:tcPr>
          <w:p w:rsidR="00F56D52" w:rsidRDefault="00F56D52" w:rsidP="00EF5765">
            <w:pPr>
              <w:autoSpaceDE w:val="0"/>
              <w:autoSpaceDN w:val="0"/>
              <w:adjustRightInd w:val="0"/>
              <w:spacing w:after="0" w:line="240" w:lineRule="auto"/>
              <w:jc w:val="both"/>
              <w:rPr>
                <w:rFonts w:eastAsiaTheme="minorHAnsi" w:cs="Cabin-Bold"/>
                <w:b/>
                <w:bCs/>
                <w:u w:val="single"/>
              </w:rPr>
            </w:pPr>
            <w:r>
              <w:rPr>
                <w:rFonts w:eastAsiaTheme="minorHAnsi" w:cs="Cabin-Bold"/>
                <w:b/>
                <w:bCs/>
                <w:u w:val="single"/>
              </w:rPr>
              <w:t xml:space="preserve">"PRIMER MANIFIESTO </w:t>
            </w:r>
            <w:r w:rsidRPr="00F56D52">
              <w:rPr>
                <w:rFonts w:eastAsiaTheme="minorHAnsi" w:cs="Cabin-Bold"/>
                <w:b/>
                <w:bCs/>
                <w:u w:val="single"/>
              </w:rPr>
              <w:t>SURREALISTA</w:t>
            </w:r>
            <w:r>
              <w:rPr>
                <w:rFonts w:eastAsiaTheme="minorHAnsi" w:cs="Cabin-Bold"/>
                <w:b/>
                <w:bCs/>
                <w:u w:val="single"/>
              </w:rPr>
              <w:t>"</w:t>
            </w:r>
          </w:p>
          <w:p w:rsidR="00F56D52" w:rsidRPr="00F56D52" w:rsidRDefault="00F56D52" w:rsidP="00F56D52">
            <w:pPr>
              <w:autoSpaceDE w:val="0"/>
              <w:autoSpaceDN w:val="0"/>
              <w:adjustRightInd w:val="0"/>
              <w:spacing w:after="0" w:line="240" w:lineRule="auto"/>
              <w:jc w:val="right"/>
              <w:rPr>
                <w:rFonts w:eastAsiaTheme="minorHAnsi" w:cs="Cabin-Bold"/>
                <w:b/>
                <w:bCs/>
              </w:rPr>
            </w:pPr>
            <w:r w:rsidRPr="00F56D52">
              <w:rPr>
                <w:rFonts w:eastAsiaTheme="minorHAnsi" w:cs="Cabin-Bold"/>
                <w:b/>
                <w:bCs/>
              </w:rPr>
              <w:t xml:space="preserve"> ANDRÉ BRETON </w:t>
            </w:r>
          </w:p>
          <w:p w:rsidR="00F56D52" w:rsidRPr="00F56D52" w:rsidRDefault="00F56D52" w:rsidP="00F56D52">
            <w:pPr>
              <w:autoSpaceDE w:val="0"/>
              <w:autoSpaceDN w:val="0"/>
              <w:adjustRightInd w:val="0"/>
              <w:spacing w:after="0" w:line="240" w:lineRule="auto"/>
              <w:jc w:val="right"/>
              <w:rPr>
                <w:rFonts w:eastAsiaTheme="minorHAnsi" w:cs="Cabin-Bold"/>
                <w:b/>
                <w:bCs/>
              </w:rPr>
            </w:pPr>
            <w:r w:rsidRPr="00F56D52">
              <w:rPr>
                <w:rFonts w:eastAsiaTheme="minorHAnsi" w:cs="Cabin-Bold"/>
                <w:b/>
                <w:bCs/>
              </w:rPr>
              <w:t>(Fragmento)</w:t>
            </w:r>
          </w:p>
          <w:p w:rsidR="00F56D52" w:rsidRDefault="00F56D52" w:rsidP="00EF5765">
            <w:pPr>
              <w:autoSpaceDE w:val="0"/>
              <w:autoSpaceDN w:val="0"/>
              <w:adjustRightInd w:val="0"/>
              <w:spacing w:after="0" w:line="240" w:lineRule="auto"/>
              <w:jc w:val="both"/>
            </w:pPr>
            <w:r>
              <w:t xml:space="preserve">Tanta fe se tiene en la vida, en la vida en su aspecto más precario, en la vida real, naturalmente, que la fe acaba por desaparecer. El hombre, soñador sin remedio, al sentirse de día en día más descontento de su sino, examina con dolor los objetos que le han enseñado a utilizar, y que ha obtenido </w:t>
            </w:r>
            <w:proofErr w:type="spellStart"/>
            <w:r>
              <w:t>al</w:t>
            </w:r>
            <w:proofErr w:type="spellEnd"/>
            <w:r>
              <w:t xml:space="preserve"> través de su indiferencia o de su interés, casi siempre a través de su interés, ya que ha consentido someterse al trabajo o, por lo menos no se ha negado a aprovechar las oportunidades... ¡Lo que él llama oportunidades! Cuando llega a este momento, el hombre es profundamente modesto: sabe cómo son las mujeres que ha poseído, sabe cómo fueron las risibles aventuras que emprendió, la riqueza y la pobreza nada le importan, y en este aspecto el hombre vuelve a ser como un niño recién nacido; y en cuanto se refiere a la aprobación de su conciencia moral, reconozco que el hombre puede prescindir de ella sin grandes dificultades. Si le queda un poco de lucidez, no tiene más remedio que dirigir la vista hacia atrás, hacia su infancia que siempre le parecerá maravillosa, por mucho que los cuidados de sus educadores la hayan destrozado. En la infancia la ausencia de toda norma conocida ofrece al hombre la perspectiva de múltiples vidas vividas al mismo tiempo; el hombre hace suya esta ilusión; sólo le interesa la facilidad momentánea, extremada, que todas las cosas ofrecen. Todas las mañanas los niños inician su camino sin inquietudes. Todo está al alcance de la mano, las peores circunstancias materiales parecen excelentes. Luzca el sol o esté negro el cielo, siempre seguiremos adelante, jamás dormiremos. Pero no se llega muy lejos a lo largo de este camino; y no se trata solamente de una cuestión de distancia. Las amenazas se acumulan, se cede, se renuncia a una parte del terreno que se debía conquistar. Aquella imaginación que no reconocía límite alguno ya no puede ejercerse sino dentro de los límites fijados por las leyes de un utilitarismo convencional; la imaginación no puede cumplir mucho tiempo esta función subordinada, y cuando alcanza aproximadamente la edad de veinte años prefiere, por lo general, abandonar al hombre a su destino de tinieblas. Pero si más tarde el hombre, fuese por lo que fuere, intenta enmendarse al sentir que poco a poco van desapareciendo todas las razones para vivir, al ver que se ha convertido en un ser incapaz de estar a la altura de una situación excepcional, como la del amor, difícilmente logrará su propósito. Y ello es así por cuanto el hombre se ha entregado, en cuerpo y alma al imperio de unas necesidades prácticas que no toleran el olvido. Todos los actos del hombre carecerán de altura, todas sus ideas, de profundidad. De todo cuanto le ocurra o cuanto pueda llegar a ocurrirle, el hombre solamente verá aquel aspecto del conocimiento que lo liga a una multitud de acontecimientos parecidos, acontecimientos en los que no ha tomado parte, acontecimientos que se ha perdido. Más aún, el hombre juzgará cuanto le ocurra o pueda ocurrirle poniéndolo en relación con uno de aquellos acontecimientos últimos, cuyas consecuencias sean más tranquilizadoras que las de los demás. Bajo ningún pretexto sabrá percibir su salvación. Amada imaginación, lo que más amo en vos es que jamás </w:t>
            </w:r>
            <w:proofErr w:type="spellStart"/>
            <w:r>
              <w:t>perdonás</w:t>
            </w:r>
            <w:proofErr w:type="spellEnd"/>
            <w:r>
              <w:t xml:space="preserve">. Únicamente la palabra libertad tiene el poder de exaltarme. Me parece justo y bueno mantener indefinidamente este viejo fanatismo humano. Sin duda alguna, se basa en mi única aspiración legítima. Pese a tantas y tantas desgracias como hemos heredado, es preciso reconocer que se nos ha legado una libertad espiritual suma. A nosotros corresponde utilizarla sabiamente. Reducir la imaginación a la esclavitud, cuando a pesar de todo quedará esclavizada en virtud de aquello que con grosero criterio se denomina felicidad, es despojar a cuanto uno encuentra en lo más hondo de sí mismo del derecho a 3 la suprema justicia. Tan sólo la imaginación me permite llegar a saber lo que puede llegar a ser, y esto basta para mitigar un poco su terrible condena; y esto basta también para que me abandone a ella, sin miedo al engaño (como si pudiéramos engañarnos todavía más). ¿En qué punto comienza </w:t>
            </w:r>
            <w:r>
              <w:lastRenderedPageBreak/>
              <w:t xml:space="preserve">la imaginación a ser perniciosa y en qué punto deja de existir la seguridad del espíritu? ¿Para el espíritu, acaso la posibilidad de errar no es sino una contingencia del bien? Queda la locura, la locura que solemos recluir, como muy bien se ha dicho. Esta locura o la otra... Todos sabemos que los locos son internados en méritos de un reducido número de actos reprobables, y que, en la ausencia de estos actos, su libertad (y la parte visible de su libertad) no sería puesta en tela de juicio. Estoy plenamente dispuesto a reconocer que los locos son, en cierta medida, víctimas de su imaginación, en el sentido que ésta le induce quebrantar ciertas reglas, reglas cuya trasgresión define la calidad de loco, lo cual todo ser humano ha de procurar saber por su propio bien. Sin embargo, la profunda indiferencia de los locos dan muestra con respecto a la crítica de que les hacemos objeto, por no hablar ya de las diversas correcciones que les infligimos, permite suponer que su imaginación les proporciona grandes consuelos, que gozan de su delirio lo suficiente para soportar que tan sólo tenga validez para ellos. Y, en realidad, las alucinaciones, las visiones, etcétera, no son una fuente de placer despreciable. La sensualidad más culta goza con ella, y me consta que muchas noches acariciaría con gusto aquella linda mano que, en las últimas páginas de </w:t>
            </w:r>
            <w:proofErr w:type="spellStart"/>
            <w:r>
              <w:t>L’Intelligence</w:t>
            </w:r>
            <w:proofErr w:type="spellEnd"/>
            <w:r>
              <w:t xml:space="preserve">, de </w:t>
            </w:r>
            <w:proofErr w:type="spellStart"/>
            <w:r>
              <w:t>Taine</w:t>
            </w:r>
            <w:proofErr w:type="spellEnd"/>
            <w:r>
              <w:t>, se entrega a tan curiosas fechorías. Me pasaría la vida entera dedicado a provocar las confidencias de los locos. Son como la gente de escrupulosa honradez, cuya inocencia tan sólo se pude comparar a la mía. Para poder descubrir América, Colón tuvo que iniciar el viaje en compañía de locos. Y ahora podéis ver que aquella locura dio frutos reales y duraderos. No será el miedo a la locura lo que nos obligue a bajar la bandera de la imaginación.</w:t>
            </w:r>
          </w:p>
          <w:p w:rsidR="00EC75B4" w:rsidRPr="00EC75B4" w:rsidRDefault="00EC75B4" w:rsidP="00EC75B4">
            <w:pPr>
              <w:autoSpaceDE w:val="0"/>
              <w:autoSpaceDN w:val="0"/>
              <w:adjustRightInd w:val="0"/>
              <w:spacing w:after="0" w:line="240" w:lineRule="auto"/>
              <w:jc w:val="right"/>
              <w:rPr>
                <w:rFonts w:eastAsiaTheme="minorHAnsi" w:cs="Cabin-Bold"/>
                <w:b/>
                <w:bCs/>
                <w:u w:val="single"/>
              </w:rPr>
            </w:pPr>
            <w:r w:rsidRPr="00EC75B4">
              <w:rPr>
                <w:b/>
              </w:rPr>
              <w:t>(pág.5)</w:t>
            </w:r>
          </w:p>
          <w:p w:rsidR="008641E9" w:rsidRPr="00C35A2C" w:rsidRDefault="008641E9" w:rsidP="00F56D52">
            <w:pPr>
              <w:pStyle w:val="Default"/>
              <w:jc w:val="both"/>
              <w:rPr>
                <w:rFonts w:cstheme="minorBidi"/>
                <w:color w:val="auto"/>
                <w:sz w:val="16"/>
                <w:szCs w:val="16"/>
                <w:u w:val="single"/>
              </w:rPr>
            </w:pPr>
          </w:p>
        </w:tc>
      </w:tr>
      <w:tr w:rsidR="008641E9" w:rsidTr="00EF5765">
        <w:tc>
          <w:tcPr>
            <w:tcW w:w="10065" w:type="dxa"/>
            <w:gridSpan w:val="2"/>
          </w:tcPr>
          <w:p w:rsidR="008641E9" w:rsidRDefault="008641E9" w:rsidP="00EF5765">
            <w:pPr>
              <w:pStyle w:val="Default"/>
              <w:jc w:val="both"/>
              <w:rPr>
                <w:rFonts w:cstheme="minorBidi"/>
                <w:b/>
              </w:rPr>
            </w:pPr>
            <w:r w:rsidRPr="00436611">
              <w:rPr>
                <w:rFonts w:cstheme="minorBidi"/>
                <w:b/>
                <w:u w:val="single"/>
              </w:rPr>
              <w:lastRenderedPageBreak/>
              <w:t>ACTIVIDAD</w:t>
            </w:r>
            <w:r>
              <w:rPr>
                <w:rFonts w:cstheme="minorBidi"/>
                <w:b/>
              </w:rPr>
              <w:t xml:space="preserve"> </w:t>
            </w:r>
          </w:p>
          <w:p w:rsidR="008641E9" w:rsidRPr="00426970" w:rsidRDefault="008641E9" w:rsidP="00EF5765">
            <w:pPr>
              <w:pStyle w:val="Default"/>
              <w:jc w:val="both"/>
              <w:rPr>
                <w:rFonts w:cstheme="minorBidi"/>
                <w:b/>
                <w:sz w:val="22"/>
                <w:szCs w:val="22"/>
              </w:rPr>
            </w:pPr>
            <w:r w:rsidRPr="00426970">
              <w:rPr>
                <w:rFonts w:cstheme="minorBidi"/>
                <w:b/>
                <w:sz w:val="22"/>
                <w:szCs w:val="22"/>
              </w:rPr>
              <w:t>1-. Describa brevemente (mínimo 3 líneas) el tema principal que aborda el texto.</w:t>
            </w:r>
          </w:p>
          <w:p w:rsidR="008641E9" w:rsidRPr="00DC03BA" w:rsidRDefault="008641E9" w:rsidP="00EF5765">
            <w:pPr>
              <w:pStyle w:val="Default"/>
              <w:jc w:val="both"/>
              <w:rPr>
                <w:rFonts w:cstheme="minorBidi"/>
                <w:sz w:val="20"/>
                <w:szCs w:val="20"/>
              </w:rPr>
            </w:pPr>
            <w:r>
              <w:rPr>
                <w:rFonts w:cstheme="minorBidi"/>
                <w:b/>
                <w:sz w:val="22"/>
                <w:szCs w:val="22"/>
              </w:rPr>
              <w:t xml:space="preserve">2-. Subraye con color azul </w:t>
            </w:r>
            <w:r w:rsidRPr="00426970">
              <w:rPr>
                <w:rFonts w:cstheme="minorBidi"/>
                <w:b/>
                <w:sz w:val="22"/>
                <w:szCs w:val="22"/>
              </w:rPr>
              <w:t>las acciones verbales</w:t>
            </w:r>
            <w:r>
              <w:rPr>
                <w:rFonts w:cstheme="minorBidi"/>
                <w:b/>
                <w:sz w:val="22"/>
                <w:szCs w:val="22"/>
              </w:rPr>
              <w:t>,</w:t>
            </w:r>
            <w:r w:rsidRPr="00426970">
              <w:rPr>
                <w:rFonts w:cstheme="minorBidi"/>
                <w:b/>
                <w:sz w:val="22"/>
                <w:szCs w:val="22"/>
              </w:rPr>
              <w:t xml:space="preserve"> y con rojo los adjetivos calificativos presentes en el fragmento. Luego, realice una lista por separado y enum</w:t>
            </w:r>
            <w:r>
              <w:rPr>
                <w:rFonts w:cstheme="minorBidi"/>
                <w:b/>
                <w:sz w:val="22"/>
                <w:szCs w:val="22"/>
              </w:rPr>
              <w:t>érelas</w:t>
            </w:r>
            <w:r w:rsidRPr="00426970">
              <w:rPr>
                <w:rFonts w:cstheme="minorBidi"/>
                <w:b/>
                <w:sz w:val="22"/>
                <w:szCs w:val="22"/>
              </w:rPr>
              <w:t>.</w:t>
            </w:r>
          </w:p>
        </w:tc>
      </w:tr>
      <w:tr w:rsidR="008641E9" w:rsidTr="00EF5765">
        <w:tc>
          <w:tcPr>
            <w:tcW w:w="10065" w:type="dxa"/>
            <w:gridSpan w:val="2"/>
          </w:tcPr>
          <w:p w:rsidR="008641E9" w:rsidRDefault="008641E9" w:rsidP="00EF5765">
            <w:pPr>
              <w:pStyle w:val="Default"/>
              <w:jc w:val="both"/>
              <w:rPr>
                <w:rFonts w:ascii="Arial" w:hAnsi="Arial" w:cs="Arial"/>
              </w:rPr>
            </w:pPr>
          </w:p>
        </w:tc>
      </w:tr>
      <w:tr w:rsidR="008641E9" w:rsidTr="00EF5765">
        <w:tc>
          <w:tcPr>
            <w:tcW w:w="10065" w:type="dxa"/>
            <w:gridSpan w:val="2"/>
          </w:tcPr>
          <w:p w:rsidR="008641E9" w:rsidRDefault="008641E9" w:rsidP="00EF5765">
            <w:pPr>
              <w:pStyle w:val="Default"/>
              <w:jc w:val="both"/>
              <w:rPr>
                <w:rFonts w:cstheme="minorBidi"/>
                <w:color w:val="auto"/>
                <w:sz w:val="22"/>
                <w:szCs w:val="22"/>
              </w:rPr>
            </w:pPr>
          </w:p>
        </w:tc>
      </w:tr>
      <w:tr w:rsidR="008641E9" w:rsidTr="00EF5765">
        <w:tc>
          <w:tcPr>
            <w:tcW w:w="10065" w:type="dxa"/>
            <w:gridSpan w:val="2"/>
          </w:tcPr>
          <w:p w:rsidR="008641E9" w:rsidRDefault="008641E9" w:rsidP="00EF5765">
            <w:pPr>
              <w:pStyle w:val="Default"/>
              <w:jc w:val="both"/>
              <w:rPr>
                <w:rFonts w:cstheme="minorBidi"/>
                <w:color w:val="auto"/>
                <w:sz w:val="22"/>
                <w:szCs w:val="22"/>
              </w:rPr>
            </w:pPr>
          </w:p>
        </w:tc>
      </w:tr>
      <w:tr w:rsidR="008641E9" w:rsidTr="00EF5765">
        <w:tc>
          <w:tcPr>
            <w:tcW w:w="10065" w:type="dxa"/>
            <w:gridSpan w:val="2"/>
          </w:tcPr>
          <w:p w:rsidR="008641E9" w:rsidRDefault="008641E9" w:rsidP="00EF5765">
            <w:pPr>
              <w:pStyle w:val="Default"/>
              <w:jc w:val="both"/>
              <w:rPr>
                <w:rFonts w:cstheme="minorBidi"/>
                <w:color w:val="auto"/>
                <w:sz w:val="22"/>
                <w:szCs w:val="22"/>
              </w:rPr>
            </w:pPr>
          </w:p>
        </w:tc>
      </w:tr>
      <w:tr w:rsidR="008641E9" w:rsidTr="00EF5765">
        <w:tc>
          <w:tcPr>
            <w:tcW w:w="10065" w:type="dxa"/>
            <w:gridSpan w:val="2"/>
          </w:tcPr>
          <w:p w:rsidR="008641E9" w:rsidRDefault="008641E9" w:rsidP="00EF5765">
            <w:pPr>
              <w:pStyle w:val="Default"/>
              <w:jc w:val="both"/>
              <w:rPr>
                <w:rFonts w:cstheme="minorBidi"/>
                <w:color w:val="auto"/>
                <w:sz w:val="22"/>
                <w:szCs w:val="22"/>
              </w:rPr>
            </w:pPr>
          </w:p>
        </w:tc>
      </w:tr>
      <w:tr w:rsidR="008641E9" w:rsidTr="00EF5765">
        <w:tc>
          <w:tcPr>
            <w:tcW w:w="10065" w:type="dxa"/>
            <w:gridSpan w:val="2"/>
          </w:tcPr>
          <w:p w:rsidR="008641E9" w:rsidRDefault="008641E9" w:rsidP="00EF5765">
            <w:pPr>
              <w:pStyle w:val="Default"/>
              <w:jc w:val="both"/>
              <w:rPr>
                <w:rFonts w:cstheme="minorBidi"/>
                <w:color w:val="auto"/>
                <w:sz w:val="22"/>
                <w:szCs w:val="22"/>
              </w:rPr>
            </w:pPr>
          </w:p>
        </w:tc>
      </w:tr>
      <w:tr w:rsidR="008641E9" w:rsidTr="00EF5765">
        <w:tc>
          <w:tcPr>
            <w:tcW w:w="10065" w:type="dxa"/>
            <w:gridSpan w:val="2"/>
          </w:tcPr>
          <w:p w:rsidR="008641E9" w:rsidRDefault="008641E9" w:rsidP="00EF5765">
            <w:pPr>
              <w:pStyle w:val="Default"/>
              <w:jc w:val="both"/>
              <w:rPr>
                <w:rFonts w:cstheme="minorBidi"/>
                <w:color w:val="auto"/>
                <w:sz w:val="22"/>
                <w:szCs w:val="22"/>
              </w:rPr>
            </w:pPr>
          </w:p>
        </w:tc>
      </w:tr>
      <w:tr w:rsidR="008641E9" w:rsidTr="00EF5765">
        <w:tc>
          <w:tcPr>
            <w:tcW w:w="10065" w:type="dxa"/>
            <w:gridSpan w:val="2"/>
          </w:tcPr>
          <w:p w:rsidR="008641E9" w:rsidRDefault="008641E9" w:rsidP="00EF5765">
            <w:pPr>
              <w:pStyle w:val="Default"/>
              <w:jc w:val="both"/>
              <w:rPr>
                <w:rFonts w:cstheme="minorBidi"/>
                <w:color w:val="auto"/>
                <w:sz w:val="22"/>
                <w:szCs w:val="22"/>
              </w:rPr>
            </w:pPr>
          </w:p>
        </w:tc>
      </w:tr>
      <w:tr w:rsidR="008641E9" w:rsidTr="00EF5765">
        <w:tc>
          <w:tcPr>
            <w:tcW w:w="10065" w:type="dxa"/>
            <w:gridSpan w:val="2"/>
          </w:tcPr>
          <w:p w:rsidR="008641E9" w:rsidRDefault="008641E9" w:rsidP="00EF5765">
            <w:pPr>
              <w:pStyle w:val="Default"/>
              <w:jc w:val="both"/>
              <w:rPr>
                <w:rFonts w:cstheme="minorBidi"/>
                <w:color w:val="auto"/>
                <w:sz w:val="22"/>
                <w:szCs w:val="22"/>
              </w:rPr>
            </w:pPr>
          </w:p>
        </w:tc>
      </w:tr>
      <w:tr w:rsidR="008641E9" w:rsidTr="00EF5765">
        <w:tc>
          <w:tcPr>
            <w:tcW w:w="10065" w:type="dxa"/>
            <w:gridSpan w:val="2"/>
          </w:tcPr>
          <w:p w:rsidR="008641E9" w:rsidRDefault="008641E9" w:rsidP="00EF5765">
            <w:pPr>
              <w:pStyle w:val="Default"/>
              <w:jc w:val="both"/>
              <w:rPr>
                <w:rFonts w:cstheme="minorBidi"/>
                <w:color w:val="auto"/>
                <w:sz w:val="22"/>
                <w:szCs w:val="22"/>
              </w:rPr>
            </w:pPr>
          </w:p>
        </w:tc>
      </w:tr>
      <w:tr w:rsidR="008641E9" w:rsidTr="00EF5765">
        <w:tc>
          <w:tcPr>
            <w:tcW w:w="10065" w:type="dxa"/>
            <w:gridSpan w:val="2"/>
          </w:tcPr>
          <w:p w:rsidR="008641E9" w:rsidRDefault="008641E9" w:rsidP="00EF5765">
            <w:pPr>
              <w:pStyle w:val="Default"/>
              <w:jc w:val="both"/>
              <w:rPr>
                <w:rFonts w:cstheme="minorBidi"/>
                <w:color w:val="auto"/>
                <w:sz w:val="22"/>
                <w:szCs w:val="22"/>
              </w:rPr>
            </w:pPr>
          </w:p>
        </w:tc>
      </w:tr>
      <w:tr w:rsidR="008641E9" w:rsidTr="00EF5765">
        <w:tc>
          <w:tcPr>
            <w:tcW w:w="10065" w:type="dxa"/>
            <w:gridSpan w:val="2"/>
          </w:tcPr>
          <w:p w:rsidR="008641E9" w:rsidRDefault="008641E9" w:rsidP="00EF5765">
            <w:pPr>
              <w:pStyle w:val="Default"/>
              <w:jc w:val="both"/>
              <w:rPr>
                <w:rFonts w:cstheme="minorBidi"/>
                <w:color w:val="auto"/>
                <w:sz w:val="22"/>
                <w:szCs w:val="22"/>
              </w:rPr>
            </w:pPr>
          </w:p>
        </w:tc>
      </w:tr>
      <w:tr w:rsidR="008641E9" w:rsidTr="00EF5765">
        <w:tc>
          <w:tcPr>
            <w:tcW w:w="10065" w:type="dxa"/>
            <w:gridSpan w:val="2"/>
          </w:tcPr>
          <w:p w:rsidR="008641E9" w:rsidRDefault="008641E9" w:rsidP="00EF5765">
            <w:pPr>
              <w:pStyle w:val="Default"/>
              <w:jc w:val="both"/>
              <w:rPr>
                <w:rFonts w:cstheme="minorBidi"/>
                <w:color w:val="auto"/>
                <w:sz w:val="22"/>
                <w:szCs w:val="22"/>
              </w:rPr>
            </w:pPr>
          </w:p>
        </w:tc>
      </w:tr>
      <w:tr w:rsidR="008641E9" w:rsidTr="00EF5765">
        <w:tc>
          <w:tcPr>
            <w:tcW w:w="10065" w:type="dxa"/>
            <w:gridSpan w:val="2"/>
          </w:tcPr>
          <w:p w:rsidR="008641E9" w:rsidRDefault="008641E9" w:rsidP="00EF5765">
            <w:pPr>
              <w:pStyle w:val="Default"/>
              <w:jc w:val="both"/>
              <w:rPr>
                <w:rFonts w:cstheme="minorBidi"/>
                <w:color w:val="auto"/>
                <w:sz w:val="22"/>
                <w:szCs w:val="22"/>
              </w:rPr>
            </w:pPr>
          </w:p>
        </w:tc>
      </w:tr>
      <w:tr w:rsidR="008641E9" w:rsidTr="00EF5765">
        <w:tc>
          <w:tcPr>
            <w:tcW w:w="10065" w:type="dxa"/>
            <w:gridSpan w:val="2"/>
          </w:tcPr>
          <w:p w:rsidR="008641E9" w:rsidRDefault="008641E9" w:rsidP="00EF5765">
            <w:pPr>
              <w:pStyle w:val="Default"/>
              <w:jc w:val="both"/>
              <w:rPr>
                <w:rFonts w:cstheme="minorBidi"/>
                <w:color w:val="auto"/>
                <w:sz w:val="22"/>
                <w:szCs w:val="22"/>
              </w:rPr>
            </w:pPr>
          </w:p>
        </w:tc>
      </w:tr>
      <w:tr w:rsidR="008641E9" w:rsidTr="00EF5765">
        <w:tc>
          <w:tcPr>
            <w:tcW w:w="10065" w:type="dxa"/>
            <w:gridSpan w:val="2"/>
          </w:tcPr>
          <w:p w:rsidR="008641E9" w:rsidRDefault="008641E9" w:rsidP="00EF5765">
            <w:pPr>
              <w:pStyle w:val="Default"/>
              <w:jc w:val="both"/>
              <w:rPr>
                <w:rFonts w:cstheme="minorBidi"/>
                <w:color w:val="auto"/>
                <w:sz w:val="22"/>
                <w:szCs w:val="22"/>
              </w:rPr>
            </w:pPr>
          </w:p>
        </w:tc>
      </w:tr>
      <w:tr w:rsidR="008641E9" w:rsidTr="00EF5765">
        <w:tc>
          <w:tcPr>
            <w:tcW w:w="10065" w:type="dxa"/>
            <w:gridSpan w:val="2"/>
          </w:tcPr>
          <w:p w:rsidR="008641E9" w:rsidRDefault="008641E9" w:rsidP="00EF5765">
            <w:pPr>
              <w:pStyle w:val="Default"/>
              <w:jc w:val="both"/>
              <w:rPr>
                <w:rFonts w:cstheme="minorBidi"/>
                <w:color w:val="auto"/>
                <w:sz w:val="22"/>
                <w:szCs w:val="22"/>
              </w:rPr>
            </w:pPr>
          </w:p>
        </w:tc>
      </w:tr>
      <w:tr w:rsidR="008641E9" w:rsidTr="00EF5765">
        <w:tc>
          <w:tcPr>
            <w:tcW w:w="10065" w:type="dxa"/>
            <w:gridSpan w:val="2"/>
          </w:tcPr>
          <w:p w:rsidR="008641E9" w:rsidRDefault="008641E9" w:rsidP="00EF5765">
            <w:pPr>
              <w:pStyle w:val="Default"/>
              <w:jc w:val="both"/>
              <w:rPr>
                <w:rFonts w:cstheme="minorBidi"/>
                <w:color w:val="auto"/>
                <w:sz w:val="22"/>
                <w:szCs w:val="22"/>
              </w:rPr>
            </w:pPr>
          </w:p>
        </w:tc>
      </w:tr>
      <w:tr w:rsidR="008641E9" w:rsidTr="00EF5765">
        <w:tc>
          <w:tcPr>
            <w:tcW w:w="10065" w:type="dxa"/>
            <w:gridSpan w:val="2"/>
          </w:tcPr>
          <w:p w:rsidR="008641E9" w:rsidRDefault="008641E9" w:rsidP="00EF5765">
            <w:pPr>
              <w:pStyle w:val="Default"/>
              <w:jc w:val="both"/>
              <w:rPr>
                <w:rFonts w:cstheme="minorBidi"/>
                <w:color w:val="auto"/>
                <w:sz w:val="22"/>
                <w:szCs w:val="22"/>
              </w:rPr>
            </w:pPr>
          </w:p>
        </w:tc>
      </w:tr>
      <w:tr w:rsidR="008641E9" w:rsidTr="00EF5765">
        <w:tc>
          <w:tcPr>
            <w:tcW w:w="10065" w:type="dxa"/>
            <w:gridSpan w:val="2"/>
          </w:tcPr>
          <w:p w:rsidR="008641E9" w:rsidRDefault="008641E9" w:rsidP="00EF5765">
            <w:pPr>
              <w:pStyle w:val="Default"/>
              <w:jc w:val="both"/>
              <w:rPr>
                <w:rFonts w:cstheme="minorBidi"/>
                <w:color w:val="auto"/>
                <w:sz w:val="22"/>
                <w:szCs w:val="22"/>
              </w:rPr>
            </w:pPr>
          </w:p>
        </w:tc>
      </w:tr>
      <w:tr w:rsidR="008641E9" w:rsidTr="00EF5765">
        <w:tc>
          <w:tcPr>
            <w:tcW w:w="10065" w:type="dxa"/>
            <w:gridSpan w:val="2"/>
          </w:tcPr>
          <w:p w:rsidR="008641E9" w:rsidRDefault="008641E9" w:rsidP="00EF5765">
            <w:pPr>
              <w:pStyle w:val="Default"/>
              <w:jc w:val="both"/>
              <w:rPr>
                <w:rFonts w:cstheme="minorBidi"/>
                <w:color w:val="auto"/>
                <w:sz w:val="22"/>
                <w:szCs w:val="22"/>
              </w:rPr>
            </w:pPr>
          </w:p>
        </w:tc>
      </w:tr>
      <w:tr w:rsidR="008641E9" w:rsidTr="00EF5765">
        <w:tc>
          <w:tcPr>
            <w:tcW w:w="10065" w:type="dxa"/>
            <w:gridSpan w:val="2"/>
          </w:tcPr>
          <w:p w:rsidR="008641E9" w:rsidRDefault="008641E9" w:rsidP="00EF5765">
            <w:pPr>
              <w:pStyle w:val="Default"/>
              <w:jc w:val="both"/>
              <w:rPr>
                <w:rFonts w:cstheme="minorBidi"/>
                <w:color w:val="auto"/>
                <w:sz w:val="22"/>
                <w:szCs w:val="22"/>
              </w:rPr>
            </w:pPr>
          </w:p>
        </w:tc>
      </w:tr>
      <w:tr w:rsidR="008641E9" w:rsidTr="00EF5765">
        <w:tc>
          <w:tcPr>
            <w:tcW w:w="10065" w:type="dxa"/>
            <w:gridSpan w:val="2"/>
          </w:tcPr>
          <w:p w:rsidR="008641E9" w:rsidRDefault="008641E9" w:rsidP="00EF5765">
            <w:pPr>
              <w:pStyle w:val="Default"/>
              <w:jc w:val="both"/>
              <w:rPr>
                <w:rFonts w:cstheme="minorBidi"/>
                <w:color w:val="auto"/>
                <w:sz w:val="22"/>
                <w:szCs w:val="22"/>
              </w:rPr>
            </w:pPr>
          </w:p>
        </w:tc>
      </w:tr>
    </w:tbl>
    <w:p w:rsidR="00226B8B" w:rsidRDefault="00C91A5D" w:rsidP="00C91A5D"/>
    <w:sectPr w:rsidR="00226B8B" w:rsidSect="00402AF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bin-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rsids>
    <w:rsidRoot w:val="008641E9"/>
    <w:rsid w:val="00402AFB"/>
    <w:rsid w:val="008641E9"/>
    <w:rsid w:val="00B939D6"/>
    <w:rsid w:val="00C91A5D"/>
    <w:rsid w:val="00DE3FF5"/>
    <w:rsid w:val="00EC75B4"/>
    <w:rsid w:val="00F56D52"/>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1E9"/>
    <w:pPr>
      <w:spacing w:after="160" w:line="259" w:lineRule="auto"/>
    </w:pPr>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641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641E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1006</Words>
  <Characters>5536</Characters>
  <Application>Microsoft Office Word</Application>
  <DocSecurity>0</DocSecurity>
  <Lines>46</Lines>
  <Paragraphs>13</Paragraphs>
  <ScaleCrop>false</ScaleCrop>
  <Company/>
  <LinksUpToDate>false</LinksUpToDate>
  <CharactersWithSpaces>6529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dc:creator>
  <cp:lastModifiedBy>Walter</cp:lastModifiedBy>
  <cp:revision>4</cp:revision>
  <dcterms:created xsi:type="dcterms:W3CDTF">2020-03-17T21:38:00Z</dcterms:created>
  <dcterms:modified xsi:type="dcterms:W3CDTF">2020-03-17T21:45:00Z</dcterms:modified>
</cp:coreProperties>
</file>